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15EC27C5" w:rsidR="000039BA" w:rsidRDefault="00833AF0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LARGE-SCALE CONSUMER LITIGATION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3151D73C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CE0EF0" w:rsidRPr="00CE0EF0">
        <w:rPr>
          <w:rFonts w:asciiTheme="minorHAnsi" w:hAnsiTheme="minorHAnsi" w:cstheme="minorHAnsi"/>
          <w:shd w:val="clear" w:color="auto" w:fill="FFFFFF"/>
          <w:lang w:val="en-GB"/>
        </w:rPr>
        <w:t>C</w:t>
      </w:r>
      <w:r w:rsidR="00CE0EF0" w:rsidRPr="00CE0EF0">
        <w:rPr>
          <w:rFonts w:asciiTheme="minorHAnsi" w:hAnsiTheme="minorHAnsi" w:cstheme="minorHAnsi"/>
          <w:shd w:val="clear" w:color="auto" w:fill="FFFFFF"/>
          <w:lang w:val="en-US"/>
        </w:rPr>
        <w:t xml:space="preserve">overs the management of large-scale consumer litigation portfolios on behalf of major companies often hailing from the telecommunications, internet, </w:t>
      </w:r>
      <w:proofErr w:type="gramStart"/>
      <w:r w:rsidR="00CE0EF0" w:rsidRPr="00CE0EF0">
        <w:rPr>
          <w:rFonts w:asciiTheme="minorHAnsi" w:hAnsiTheme="minorHAnsi" w:cstheme="minorHAnsi"/>
          <w:shd w:val="clear" w:color="auto" w:fill="FFFFFF"/>
          <w:lang w:val="en-US"/>
        </w:rPr>
        <w:t>food</w:t>
      </w:r>
      <w:proofErr w:type="gramEnd"/>
      <w:r w:rsidR="00CE0EF0" w:rsidRPr="00CE0EF0">
        <w:rPr>
          <w:rFonts w:asciiTheme="minorHAnsi" w:hAnsiTheme="minorHAnsi" w:cstheme="minorHAnsi"/>
          <w:shd w:val="clear" w:color="auto" w:fill="FFFFFF"/>
          <w:lang w:val="en-US"/>
        </w:rPr>
        <w:t xml:space="preserve"> and consumer goods industries, amongst others. Proceedings allow an injured party to recover financial compensation from the manufacturer or seller of a product.</w:t>
      </w:r>
    </w:p>
    <w:bookmarkEnd w:id="2"/>
    <w:p w14:paraId="12490801" w14:textId="55DDFCB8" w:rsidR="00C645F8" w:rsidRPr="0091234A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91234A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91234A">
        <w:rPr>
          <w:bCs w:val="0"/>
          <w:color w:val="FF0000"/>
          <w:sz w:val="22"/>
          <w:szCs w:val="22"/>
          <w:lang w:val="en-US"/>
        </w:rPr>
        <w:t>form</w:t>
      </w:r>
      <w:r w:rsidRPr="0091234A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91234A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9C7EDB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5B73D0B6" w:rsidR="002A0923" w:rsidRPr="0091234A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91234A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9C7EDB">
        <w:rPr>
          <w:bCs w:val="0"/>
          <w:color w:val="000000" w:themeColor="text1"/>
          <w:sz w:val="22"/>
          <w:szCs w:val="22"/>
          <w:lang w:val="en-US"/>
        </w:rPr>
        <w:t>brasil</w:t>
      </w:r>
      <w:r w:rsidRPr="0091234A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054809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054809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765FC10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91234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0EE0C89F" w14:textId="77777777" w:rsidR="0091234A" w:rsidRPr="00D91B05" w:rsidRDefault="0091234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3DCC25DC" w14:textId="77777777" w:rsidR="0091234A" w:rsidRDefault="0091234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607D30F6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054809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422104D" w14:textId="77777777" w:rsidR="00330DC7" w:rsidRPr="00B22458" w:rsidRDefault="00330DC7" w:rsidP="00330DC7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Number of total ongoing </w:t>
      </w:r>
      <w:r w:rsidRPr="001D7E73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consumer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litigation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cases: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30DC7" w:rsidRPr="00054809" w14:paraId="120FB4DD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D817A4" w14:textId="77777777" w:rsidR="00330DC7" w:rsidRPr="00F156ED" w:rsidRDefault="00330DC7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07C68494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 w:rsidR="007A3AC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new </w:t>
      </w:r>
      <w:r w:rsidR="007A3AC8" w:rsidRPr="001D7E73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consumer</w:t>
      </w:r>
      <w:r w:rsidR="007A3AC8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litigation</w:t>
      </w:r>
      <w:r w:rsidR="007A3AC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cases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054809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80402D" w:rsidRPr="00D91B05" w14:paraId="47CA1E4E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03042C88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22D1514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68E7889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2B2E933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4A923A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80402D" w:rsidRPr="00D91B05" w14:paraId="36F8C9CF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95F3E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CC79D40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E85DE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D67C6A7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13CDD0C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349D9BE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62E9BD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AD9B7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326A6C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295AAC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B883D1E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0A3EEF6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73763E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18BE344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9A9121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BE6858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5B5CB23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43A6263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724B22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AB92A98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A401DB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AE7F2F9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F60E7B6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6721A54C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8157BAD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B36784F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3B24E16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A6A5E3B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DADFF23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627B352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0CF4EAC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C09CBD6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DDC928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7AB31C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7362020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0D74DF3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BB21419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9B9C624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F342B9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D537F6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74BAE91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79B94544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A357EE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0712C57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0BEC825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10F24F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F2C8363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528210A6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3A33132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A32FCB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D6D566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698E7E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305D9D1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5E277C2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C59575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038B96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00ECA6B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7824F1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62E029F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7177338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BD1ED42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87CCB4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C4D30F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4E1ACBC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0AC6A50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402D" w:rsidRPr="00D91B05" w14:paraId="16AC1FC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000821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D44896A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958A6E2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072436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02050C0E" w14:textId="77777777" w:rsidR="0080402D" w:rsidRPr="00D91B05" w:rsidRDefault="0080402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7461FC52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44682E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054809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358DADA1" w:rsidR="009570E1" w:rsidRPr="00D91B05" w:rsidRDefault="006D72D3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Large-Scale Consumer Litigation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496D1178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6D72D3" w:rsidRPr="006D72D3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Large-Scale Consumer Litigation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054809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78AE67B5" w:rsidR="005A2CAF" w:rsidRPr="00D91B05" w:rsidRDefault="006D72D3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6D72D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Large-Scale Consumer Litigation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74C3DAC8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6D72D3" w:rsidRPr="006D72D3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Large-Scale Consumer Litigation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054809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38A0DBE9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E362EC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44682E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44682E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</w:t>
            </w: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):</w:t>
            </w:r>
            <w:proofErr w:type="gramEnd"/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  <w:proofErr w:type="gramEnd"/>
          </w:p>
        </w:tc>
      </w:tr>
      <w:tr w:rsidR="0032379F" w:rsidRPr="00054809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054809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54809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54809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5E1C" w14:textId="77777777" w:rsidR="009A2F2F" w:rsidRDefault="009A2F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9244034" w14:textId="77777777" w:rsidR="009A2F2F" w:rsidRDefault="009A2F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6D3D" w14:textId="77777777" w:rsidR="00054809" w:rsidRDefault="00054809" w:rsidP="00054809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60868AA2" w14:textId="77777777" w:rsidR="00054809" w:rsidRDefault="00054809" w:rsidP="00054809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4816203" w14:textId="77777777" w:rsidR="00054809" w:rsidRDefault="00054809" w:rsidP="00054809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299DBEB" w14:textId="77777777" w:rsidR="00054809" w:rsidRDefault="00054809" w:rsidP="00054809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06D7C180" w14:textId="77777777" w:rsidR="00054809" w:rsidRDefault="00054809" w:rsidP="00054809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1E26FF94" w14:textId="77777777" w:rsidR="00054809" w:rsidRDefault="00054809" w:rsidP="00054809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59278D75" w14:textId="77777777" w:rsidR="00054809" w:rsidRDefault="00054809" w:rsidP="00054809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5D6AA049" w14:textId="77777777" w:rsidR="00054809" w:rsidRDefault="00054809" w:rsidP="00054809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9C7EDB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93405" w14:textId="77777777" w:rsidR="009A2F2F" w:rsidRDefault="009A2F2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2E9CA38" w14:textId="77777777" w:rsidR="009A2F2F" w:rsidRDefault="009A2F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54809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0DC7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4682E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D72D3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3AC8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02D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3AF0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234A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2F2F"/>
    <w:rsid w:val="009A35D2"/>
    <w:rsid w:val="009A3746"/>
    <w:rsid w:val="009A3816"/>
    <w:rsid w:val="009A4333"/>
    <w:rsid w:val="009A434B"/>
    <w:rsid w:val="009B6D1E"/>
    <w:rsid w:val="009B7804"/>
    <w:rsid w:val="009C3B43"/>
    <w:rsid w:val="009C7EDB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B7537"/>
    <w:rsid w:val="00BC1690"/>
    <w:rsid w:val="00BC2E73"/>
    <w:rsid w:val="00BD09F3"/>
    <w:rsid w:val="00BD0AC8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E0EF0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1DAC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6D5D"/>
    <w:rsid w:val="00E070DD"/>
    <w:rsid w:val="00E16380"/>
    <w:rsid w:val="00E166B1"/>
    <w:rsid w:val="00E16985"/>
    <w:rsid w:val="00E228E9"/>
    <w:rsid w:val="00E342FC"/>
    <w:rsid w:val="00E362E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5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4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664</Words>
  <Characters>3653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4309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28</cp:revision>
  <cp:lastPrinted>2014-04-30T13:27:00Z</cp:lastPrinted>
  <dcterms:created xsi:type="dcterms:W3CDTF">2022-05-27T15:31:00Z</dcterms:created>
  <dcterms:modified xsi:type="dcterms:W3CDTF">2023-09-18T13:47:00Z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